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115</w:t>
      </w:r>
    </w:p>
    <w:p>
      <w:r>
        <w:t>Bundesgericht (BGE), 1989-04-14, IT</w:t>
      </w:r>
    </w:p>
    <w:p>
      <w:r>
        <w:rPr>
          <w:b/>
        </w:rPr>
        <w:t xml:space="preserve">Quelle: </w:t>
      </w:r>
      <w:r>
        <w:t>https://mcp.opencaselaw.ch/entscheid/bge_118 IV 115</w:t>
      </w:r>
    </w:p>
    <w:p>
      <w:r>
        <w:t>FR: ATF 118 IV 115</w:t>
      </w:r>
    </w:p>
    <w:p>
      <w:r>
        <w:t>IT: DTF 118 IV 115</w:t>
      </w:r>
    </w:p>
    <w:p>
      <w:pPr>
        <w:pStyle w:val="Heading2"/>
      </w:pPr>
      <w:r>
        <w:t>Regeste</w:t>
      </w:r>
    </w:p>
    <w:p>
      <w:r>
        <w:t>Regeste Art. 63 StGB; Bemessung der Strafe bei aufgrund verdeckter Fahndung festgenommenen Angeschuldigten. Wird ein Angeschuldigter aufgrund verdeckter Fahndung festgenommen, ist bei der Bemessung der Strafe jede dadurch bewirkte Förderung der Straftaten zu berücksichtigen; die Strafe ist gemäss der durch den Einsatz der V-Leute gemilderten Schuld herabzusetzen. Im vorliegenden Fall verletzt die von der kantonalen Behörde vorgenommene Strafreduktion um einen Viertel bzw. einen Fünftel Art. 63 StGB; sie hätte unter den konkreten Umständen nur weniger als einen Zehntel ausmachen dürfen (E. 2).</w:t>
      </w:r>
    </w:p>
    <w:p>
      <w:pPr>
        <w:pStyle w:val="Heading2"/>
      </w:pPr>
      <w:r>
        <w:t>Erwägungen</w:t>
      </w:r>
    </w:p>
    <w:p>
      <w:r>
        <w:rPr>
          <w:b/>
        </w:rPr>
        <w:t>E. 1</w:t>
      </w:r>
    </w:p>
    <w:p>
      <w:r>
        <w:t>a) La CCRP ha, in base ai suoi precedenti accertamenti fattuali e ai corrispondenti rilievi contenuti nelle decisioni di rinvio del Tribunale federale, constatato che il traffico di stupefacenti di cui trattasi non era stato in alcun modo avviato da agenti infiltrati, e che l'iniziativa era dovuta esclusivamente agli imputati. Quali elementi che hanno agevolato l'esecuzione del traffico e che sono da attribuirsi all'attività degli agenti infiltrati, la CCRP ha considerato la presenza di tali agenti in veste di supposti acquirenti, la loro apparente solvibilità dimostrata con l'esibizione del denaro necessario per l'acquisto, e la loro apparente serietà, garantita dalla presentazione di un finto laboratorio. Essa ha altresì ravvisato un'agevolazione di una certa importanza nella presa in consegna dei campioni d'eroina nella zona extradoganale dell'aeroporto di Kloten. Ha invece attribuito scarso rilievo, sotto questo profilo, alle minacce proferite dall'agente infiltrato a D. e a E.; secondo la CCRP, esse non hanno agevolato l'operazione, né tanto meno hanno determinato gli autori ad agire; al contrario, quel nervosismo incontrollato aveva rischiato di far fallire tutta l'operazione, di guisa che se ne poteva tutt'al più tener conto quale ostacolo frapposto dall'infiltrato a un'ipotetica retromarcia in un'operazione già in fase esecutiva. La CCRP ha concluso che l'agevolazione da parte degli agenti infiltrati nell'esecuzione delittuosa non concerneva tal o tal altro esecutore in particolare, ma aveva piuttosto una portata generale ai fini della realizzazione del traffico per la quale detti agenti hanno spianato la strada. Ne seguiva che la colpa di tutti i partecipanti risultava diminuita e che ciò andava considerato in sede di nuova determinazione delle pene. BGE 118 IV 115 S. 118 b) La ricorrente eccepisce al riguardo che un'inchiesta mascherata condotta correttamente non può comportare una riduzione tanto massiccia quale quella operata dalla CCRP. Essa rileva che la Corte di cassazione del Tribunale federale aveva nella sua sentenza di rinvio stabilito che l'intervento degli agenti infiltrati poteva avere solo un effetto limitato sulla riduzione delle pene pronunciate in precedenza. Secondo la ricorrente, la CCRP ha irrogato pene arbitrariamente miti, che manifestamente non corrispondono alla gravità obiettiva e soggettiva dei reati accertati; essa ha pertanto ecceduto il proprio potere di apprezzamento e violato così l' art. 63 CP .</w:t>
      </w:r>
    </w:p>
    <w:p>
      <w:r>
        <w:rPr>
          <w:b/>
        </w:rPr>
        <w:t>E. 2</w:t>
      </w:r>
    </w:p>
    <w:p>
      <w:r>
        <w:t>Nel ponderare gli elementi di rilevanza giuridica determinanti per la commisurazione della pena, il giudice di merito dispone di un considerevole potere di apprezzamento. Adito con ricorso per cassazione, con il quale può essere fatta valere solo la violazione del diritto federale ( art. 269 cpv. 1 PP ), il Tribunale federale interviene nella commisurazione della pena soltanto laddove l'autorità cantonale abbia ponderato erroneamente tali elementi, esercitando in modo eccessivo od abusivo il proprio potere di apprezzamento ( DTF 117 IV 114 e richiami). a) In base ad un'interpretazione dell' art. 63 CP conforme alla Costituzione e alla Convenzione europea dei diritti dell'uomo, gli effetti dell'impiego di un agente infiltrato devono essere considerati, ai fini della determinazione della pena, in modo adeguato a favore dell'imputato. Il Tribunale federale non esige una base legale per l'impiego di agenti infiltrati, dato che non v'è una violazione di un diritto fondamentale garantito dalla Costituzione o dalla CEDU quando chi è imputato in seguito ad un'inchiesta mascherata non venga in alcun modo punito per il contributo alla sua partecipazione recato da agenti infiltrati ( DTF 116 IV 297 consid. 2b/aa, DTF 112 Ia 22 ). Ne discende, da un lato, che può derogarsi a tale principio solo in casi del tutto straordinari, per esempio laddove tale contributo sia stato minimo o manifestamente non abbia avuto alcuna influenza sul grado di colpa dell'imputato ( DTF 116 IV 298 consid. 2b/bb). D'altro canto, allorquando il traffico di stupefacenti di cui si tratta non sia stato in alcun modo avviato grazie ad un comportamento attivo di agenti infiltrati, bensì sia dovuto esclusivamente all'iniziativa degli autori, l'agevolazione - intervenuta in virtù del contributo di agenti infiltrati - dell'esecuzione dell'attività criminosa può comportare solo effetti limitati sulla misura della pena da pronunciare ( DTF 116 IV 299 consid. 2b/cc). In altre parole, in linea di principio va tenuto conto di qualsiasi agevolazione dell'attività criminosa; se tuttavia BGE 118 IV 115 S. 119 tale agevolazione non ha avuto come risultato che, senza di essa, l'attività delittuosa non avrebbe avuto luogo o avrebbe avuto luogo solo in misura minore, bensì ha soltanto fatto sì che l'autore ha dovuto impiegare un'energia criminosa minore, tale circostanza comporta una riduzione relativamente minore della colpevolezza e giustifica perciò una diminuzione della pena corrispondente a tale minor grado di colpevolezza. b) La CCRP ha manifestamente frainteso l'esatto significato di tale giurisprudenza. Essa è pervenuta in fatto alla conclusione - vincolante il Tribunale federale ( art. 277bis cpv. 1 PP ) e contro la quale i resistenti sollevano pertanto censure inammissibili ( art. 273 cpv. 1 lett. b PP ) - che il comportamento degli agenti infiltrati diretto a spianare la strada degli autori del traffico era stato essenzialmente passivo, di guisa che occorreva a tali autori, per realizzare il fine che si erano proposti, una volontà criminosa minore in misura corrispondente ( DTF 116 IV 297 consid. 2b/aa). Nel ridurre le pene, rispettivamente di un quarto o di un quinto, la CCRP ha ecceduto il proprio potere d'apprezzamento, poiché non ha tenuto conto dell'influenza solo modesta che il grado relativamente minore di colpevolezza dovuto al contributo degli agenti infiltrati poteva avere sulla misura delle pene da irrogare. Nella fattispecie poteva entrare nei limiti di un corretto potere d'apprezzamento solo una riduzione inferiore a un decimo. Per tale ragione il ricorso dev'essere accolto, la sentenza impugnata annullata e la causa rinviata per nuova decisione alla CCRP.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